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</w:pPr>
      <w:r>
        <w:rPr>
          <w:sz w:val="24"/>
          <w:szCs w:val="24"/>
        </w:rPr>
        <w:t xml:space="preserve">Working With JSH Law (For Litigants in Person)</w:t>
      </w:r>
      <w:r>
        <w:br/>
      </w:r>
      <w:r>
        <w:rPr>
          <w:sz w:val="24"/>
          <w:szCs w:val="24"/>
        </w:rPr>
        <w:t xml:space="preserve">One-Page Guide to Getting Help Quickly and Effectively (England &amp; Wales)</w:t>
      </w:r>
    </w:p>
    <w:p>
      <w:pPr>
        <w:spacing w:after="240"/>
      </w:pPr>
      <w:r>
        <w:rPr>
          <w:sz w:val="24"/>
          <w:szCs w:val="24"/>
        </w:rPr>
        <w:t xml:space="preserve">What JSH Law Does</w:t>
      </w:r>
      <w:r>
        <w:br/>
      </w:r>
      <w:r>
        <w:rPr>
          <w:sz w:val="24"/>
          <w:szCs w:val="24"/>
        </w:rPr>
        <w:t xml:space="preserve">JSH Law supports litigants in person in the Family Court by providing focused legal input where it has the greatest impact. Typical support includes:</w:t>
      </w:r>
    </w:p>
    <w:p>
      <w:pPr>
        <w:spacing w:after="240"/>
      </w:pPr>
      <w:r>
        <w:rPr>
          <w:sz w:val="24"/>
          <w:szCs w:val="24"/>
        </w:rPr>
        <w:t xml:space="preserve">* Early case triage: identifying the key issues, risks, and the next procedural steps.</w:t>
      </w:r>
      <w:r>
        <w:br/>
      </w:r>
      <w:r>
        <w:rPr>
          <w:sz w:val="24"/>
          <w:szCs w:val="24"/>
        </w:rPr>
        <w:t xml:space="preserve">* Advice and strategy: clarifying the legal framework, realistic outcomes, and settlement options.</w:t>
      </w:r>
      <w:r>
        <w:br/>
      </w:r>
      <w:r>
        <w:rPr>
          <w:sz w:val="24"/>
          <w:szCs w:val="24"/>
        </w:rPr>
        <w:t xml:space="preserve">* Drafting and checking documents: applications, responses, witness statements, schedules, chronologies, position statements, and draft orders.</w:t>
      </w:r>
      <w:r>
        <w:br/>
      </w:r>
      <w:r>
        <w:rPr>
          <w:sz w:val="24"/>
          <w:szCs w:val="24"/>
        </w:rPr>
        <w:t xml:space="preserve">* Hearing preparation: identifying what must be proved at the next hearing and what documents the judge needs.</w:t>
      </w:r>
      <w:r>
        <w:br/>
      </w:r>
      <w:r>
        <w:rPr>
          <w:sz w:val="24"/>
          <w:szCs w:val="24"/>
        </w:rPr>
        <w:t xml:space="preserve">* Representation (where available/appropriate): attendance at hearings and ongoing conduct of proceedings.</w:t>
      </w:r>
    </w:p>
    <w:p>
      <w:pPr>
        <w:spacing w:after="240"/>
      </w:pPr>
      <w:r>
        <w:rPr>
          <w:sz w:val="24"/>
          <w:szCs w:val="24"/>
        </w:rPr>
        <w:t xml:space="preserve">How Work Is Structured (So Costs Stay Proportionate)</w:t>
      </w:r>
      <w:r>
        <w:br/>
      </w:r>
      <w:r>
        <w:rPr>
          <w:sz w:val="24"/>
          <w:szCs w:val="24"/>
        </w:rPr>
        <w:t xml:space="preserve">Services are typically offered in one of the following ways:</w:t>
      </w:r>
    </w:p>
    <w:p>
      <w:pPr>
        <w:spacing w:after="240"/>
      </w:pPr>
      <w:r>
        <w:rPr>
          <w:sz w:val="24"/>
          <w:szCs w:val="24"/>
        </w:rPr>
        <w:t xml:space="preserve">* Document-only help (unbundled/limited scope): drafting or improving a specific document (for example, a position statement for the next hearing).</w:t>
      </w:r>
      <w:r>
        <w:br/>
      </w:r>
      <w:r>
        <w:rPr>
          <w:sz w:val="24"/>
          <w:szCs w:val="24"/>
        </w:rPr>
        <w:t xml:space="preserve">* Stage-by-stage support: help through a defined phase (for example, from issue to the first hearing).</w:t>
      </w:r>
      <w:r>
        <w:br/>
      </w:r>
      <w:r>
        <w:rPr>
          <w:sz w:val="24"/>
          <w:szCs w:val="24"/>
        </w:rPr>
        <w:t xml:space="preserve">* Ongoing case conduct: full retainer where JSH Law manages the litigation steps and correspondence.</w:t>
      </w:r>
    </w:p>
    <w:p>
      <w:pPr>
        <w:spacing w:after="240"/>
      </w:pPr>
      <w:r>
        <w:rPr>
          <w:sz w:val="24"/>
          <w:szCs w:val="24"/>
        </w:rPr>
        <w:t xml:space="preserve">Scope, deadlines, and fees should be agreed in writing before work begins.</w:t>
      </w:r>
    </w:p>
    <w:p>
      <w:pPr>
        <w:spacing w:after="240"/>
      </w:pPr>
      <w:r>
        <w:rPr>
          <w:sz w:val="24"/>
          <w:szCs w:val="24"/>
        </w:rPr>
        <w:t xml:space="preserve">What Is Needed First (Send These Before Any Conference)</w:t>
      </w:r>
      <w:r>
        <w:br/>
      </w:r>
      <w:r>
        <w:rPr>
          <w:sz w:val="24"/>
          <w:szCs w:val="24"/>
        </w:rPr>
        <w:t xml:space="preserve">To provide useful advice quickly, the following items are needed in a single, clearly labelled PDF bundle (or a folder with numbered PDFs):</w:t>
      </w:r>
    </w:p>
    <w:p>
      <w:pPr>
        <w:spacing w:after="240"/>
      </w:pPr>
      <w:r>
        <w:rPr>
          <w:sz w:val="24"/>
          <w:szCs w:val="24"/>
        </w:rPr>
        <w:t xml:space="preserve">A. Court and case information</w:t>
      </w:r>
      <w:r>
        <w:br/>
      </w:r>
      <w:r>
        <w:rPr>
          <w:sz w:val="24"/>
          <w:szCs w:val="24"/>
        </w:rPr>
        <w:t xml:space="preserve">* Case number, court hearing centre, and the next hearing date (and what the hearing is for, if known).</w:t>
      </w:r>
      <w:r>
        <w:br/>
      </w:r>
      <w:r>
        <w:rPr>
          <w:sz w:val="24"/>
          <w:szCs w:val="24"/>
        </w:rPr>
        <w:t xml:space="preserve">* All sealed court orders (in date order, most recent first).</w:t>
      </w:r>
      <w:r>
        <w:br/>
      </w:r>
      <w:r>
        <w:rPr>
          <w:sz w:val="24"/>
          <w:szCs w:val="24"/>
        </w:rPr>
        <w:t xml:space="preserve">* The application (for example, C100/Form A) and all responses filed.</w:t>
      </w:r>
    </w:p>
    <w:p>
      <w:pPr>
        <w:spacing w:after="240"/>
      </w:pPr>
      <w:r>
        <w:rPr>
          <w:sz w:val="24"/>
          <w:szCs w:val="24"/>
        </w:rPr>
        <w:t xml:space="preserve">B. Safeguarding and risk materials (children cases)</w:t>
      </w:r>
      <w:r>
        <w:br/>
      </w:r>
      <w:r>
        <w:rPr>
          <w:sz w:val="24"/>
          <w:szCs w:val="24"/>
        </w:rPr>
        <w:t xml:space="preserve">* Any Cafcass letters, safeguarding calls outcome, or section 7/section 37 documents (if applicable).</w:t>
      </w:r>
      <w:r>
        <w:br/>
      </w:r>
      <w:r>
        <w:rPr>
          <w:sz w:val="24"/>
          <w:szCs w:val="24"/>
        </w:rPr>
        <w:t xml:space="preserve">* Any police incident references, non-molestation/occupation orders, undertakings, bail conditions, or protective orders (if relevant).</w:t>
      </w:r>
    </w:p>
    <w:p>
      <w:pPr>
        <w:spacing w:after="240"/>
      </w:pPr>
      <w:r>
        <w:rPr>
          <w:sz w:val="24"/>
          <w:szCs w:val="24"/>
        </w:rPr>
        <w:t xml:space="preserve">C. A short case summary (preferably 1–2 pages)</w:t>
      </w:r>
      <w:r>
        <w:br/>
      </w:r>
      <w:r>
        <w:rPr>
          <w:sz w:val="24"/>
          <w:szCs w:val="24"/>
        </w:rPr>
        <w:t xml:space="preserve">* Parties’ names and relationship background.</w:t>
      </w:r>
      <w:r>
        <w:br/>
      </w:r>
      <w:r>
        <w:rPr>
          <w:sz w:val="24"/>
          <w:szCs w:val="24"/>
        </w:rPr>
        <w:t xml:space="preserve">* Children’s names and dates of birth.</w:t>
      </w:r>
      <w:r>
        <w:br/>
      </w:r>
      <w:r>
        <w:rPr>
          <w:sz w:val="24"/>
          <w:szCs w:val="24"/>
        </w:rPr>
        <w:t xml:space="preserve">* The orders sought and what outcome is acceptable.</w:t>
      </w:r>
      <w:r>
        <w:br/>
      </w:r>
      <w:r>
        <w:rPr>
          <w:sz w:val="24"/>
          <w:szCs w:val="24"/>
        </w:rPr>
        <w:t xml:space="preserve">* The top 3 issues the court must decide next.</w:t>
      </w:r>
      <w:r>
        <w:br/>
      </w:r>
      <w:r>
        <w:rPr>
          <w:sz w:val="24"/>
          <w:szCs w:val="24"/>
        </w:rPr>
        <w:t xml:space="preserve">* Any urgent safety issues.</w:t>
      </w:r>
    </w:p>
    <w:p>
      <w:pPr>
        <w:spacing w:after="240"/>
      </w:pPr>
      <w:r>
        <w:rPr>
          <w:sz w:val="24"/>
          <w:szCs w:val="24"/>
        </w:rPr>
        <w:t xml:space="preserve">D. Chronology and key evidence shortlist</w:t>
      </w:r>
      <w:r>
        <w:br/>
      </w:r>
      <w:r>
        <w:rPr>
          <w:sz w:val="24"/>
          <w:szCs w:val="24"/>
        </w:rPr>
        <w:t xml:space="preserve">* A chronology (table format preferred).</w:t>
      </w:r>
      <w:r>
        <w:br/>
      </w:r>
      <w:r>
        <w:rPr>
          <w:sz w:val="24"/>
          <w:szCs w:val="24"/>
        </w:rPr>
        <w:t xml:space="preserve">* A shortlist of the most important documents/messages (generally 10–20 items), each with a brief note stating why it matters.</w:t>
      </w:r>
    </w:p>
    <w:p>
      <w:pPr>
        <w:spacing w:after="240"/>
      </w:pPr>
      <w:r>
        <w:rPr>
          <w:sz w:val="24"/>
          <w:szCs w:val="24"/>
        </w:rPr>
        <w:t xml:space="preserve">E. Financial remedy cases (if applicable)</w:t>
      </w:r>
      <w:r>
        <w:br/>
      </w:r>
      <w:r>
        <w:rPr>
          <w:sz w:val="24"/>
          <w:szCs w:val="24"/>
        </w:rPr>
        <w:t xml:space="preserve">* The latest financial disclosure available (Form E if completed, plus the key supporting documents).</w:t>
      </w:r>
      <w:r>
        <w:br/>
      </w:r>
      <w:r>
        <w:rPr>
          <w:sz w:val="24"/>
          <w:szCs w:val="24"/>
        </w:rPr>
        <w:t xml:space="preserve">* Recent bank statements, payslips, P60s, mortgage statements, property valuations (if already obtained), pension CETVs (if available).</w:t>
      </w:r>
    </w:p>
    <w:p>
      <w:pPr>
        <w:spacing w:after="240"/>
      </w:pPr>
      <w:r>
        <w:rPr>
          <w:sz w:val="24"/>
          <w:szCs w:val="24"/>
        </w:rPr>
        <w:t xml:space="preserve">What Usually Happens Next</w:t>
      </w:r>
      <w:r>
        <w:br/>
      </w:r>
      <w:r>
        <w:rPr>
          <w:sz w:val="24"/>
          <w:szCs w:val="24"/>
        </w:rPr>
        <w:t xml:space="preserve">After receiving the first-stage documents, JSH Law will typically:</w:t>
      </w:r>
    </w:p>
    <w:p>
      <w:pPr>
        <w:spacing w:after="240"/>
      </w:pPr>
      <w:r>
        <w:rPr>
          <w:sz w:val="24"/>
          <w:szCs w:val="24"/>
        </w:rPr>
        <w:t xml:space="preserve">1. Confirm the immediate objectives for the next hearing (order sought and issues in dispute).</w:t>
      </w:r>
      <w:r>
        <w:br/>
      </w:r>
      <w:r>
        <w:rPr>
          <w:sz w:val="24"/>
          <w:szCs w:val="24"/>
        </w:rPr>
        <w:t xml:space="preserve">2. Identify evidence gaps and the most efficient way to fill them.</w:t>
      </w:r>
      <w:r>
        <w:br/>
      </w:r>
      <w:r>
        <w:rPr>
          <w:sz w:val="24"/>
          <w:szCs w:val="24"/>
        </w:rPr>
        <w:t xml:space="preserve">3. Recommend a document plan (position statement, witness statement, draft order, chronology updates).</w:t>
      </w:r>
      <w:r>
        <w:br/>
      </w:r>
      <w:r>
        <w:rPr>
          <w:sz w:val="24"/>
          <w:szCs w:val="24"/>
        </w:rPr>
        <w:t xml:space="preserve">4. Provide a clear scope and fee proposal for the agreed work.</w:t>
      </w:r>
    </w:p>
    <w:p>
      <w:pPr>
        <w:spacing w:after="240"/>
      </w:pPr>
      <w:r>
        <w:rPr>
          <w:sz w:val="24"/>
          <w:szCs w:val="24"/>
        </w:rPr>
        <w:t xml:space="preserve">Common Issues That Delay Progress (Avoid If Possible)</w:t>
      </w:r>
      <w:r>
        <w:br/>
      </w:r>
      <w:r>
        <w:rPr>
          <w:sz w:val="24"/>
          <w:szCs w:val="24"/>
        </w:rPr>
        <w:t xml:space="preserve">* Sending large quantities of screenshots without a chronology or relevance notes.</w:t>
      </w:r>
      <w:r>
        <w:br/>
      </w:r>
      <w:r>
        <w:rPr>
          <w:sz w:val="24"/>
          <w:szCs w:val="24"/>
        </w:rPr>
        <w:t xml:space="preserve">* Missing sealed orders or not knowing the next hearing purpose.</w:t>
      </w:r>
      <w:r>
        <w:br/>
      </w:r>
      <w:r>
        <w:rPr>
          <w:sz w:val="24"/>
          <w:szCs w:val="24"/>
        </w:rPr>
        <w:t xml:space="preserve">* Long narrative statements that do not address dates, particulars, or the welfare/safety relevance.</w:t>
      </w:r>
    </w:p>
    <w:p>
      <w:pPr>
        <w:spacing w:after="240"/>
      </w:pPr>
      <w:r>
        <w:rPr>
          <w:sz w:val="24"/>
          <w:szCs w:val="24"/>
        </w:rPr>
        <w:t xml:space="preserve">Urgent Cases</w:t>
      </w:r>
      <w:r>
        <w:br/>
      </w:r>
      <w:r>
        <w:rPr>
          <w:sz w:val="24"/>
          <w:szCs w:val="24"/>
        </w:rPr>
        <w:t xml:space="preserve">If there is imminent risk (for example, same-week hearing, safeguarding emergency, threats, or abduction risk), mark the subject line URGENT and include:</w:t>
      </w:r>
    </w:p>
    <w:p>
      <w:pPr>
        <w:spacing w:after="240"/>
      </w:pPr>
      <w:r>
        <w:rPr>
          <w:sz w:val="24"/>
          <w:szCs w:val="24"/>
        </w:rPr>
        <w:t xml:space="preserve">* hearing date/time,</w:t>
      </w:r>
      <w:r>
        <w:br/>
      </w:r>
      <w:r>
        <w:rPr>
          <w:sz w:val="24"/>
          <w:szCs w:val="24"/>
        </w:rPr>
        <w:t xml:space="preserve">* the order needed urgently,</w:t>
      </w:r>
      <w:r>
        <w:br/>
      </w:r>
      <w:r>
        <w:rPr>
          <w:sz w:val="24"/>
          <w:szCs w:val="24"/>
        </w:rPr>
        <w:t xml:space="preserve">* the specific risk,</w:t>
      </w:r>
      <w:r>
        <w:br/>
      </w:r>
      <w:r>
        <w:rPr>
          <w:sz w:val="24"/>
          <w:szCs w:val="24"/>
        </w:rPr>
        <w:t xml:space="preserve">* the most recent court order.</w:t>
      </w:r>
    </w:p>
    <w:p>
      <w:pPr>
        <w:spacing w:after="240"/>
      </w:pPr>
      <w:r>
        <w:rPr>
          <w:sz w:val="24"/>
          <w:szCs w:val="24"/>
        </w:rPr>
        <w:t xml:space="preserve">Important Note</w:t>
      </w:r>
      <w:r>
        <w:br/>
      </w:r>
      <w:r>
        <w:rPr>
          <w:sz w:val="24"/>
          <w:szCs w:val="24"/>
        </w:rPr>
        <w:t xml:space="preserve">This handout is general information about how JSH Law works with litigants in person and what is needed to start. It is not a substitute for tailored legal advice on the facts of a particular case.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2026-01-28T14:23:19.044Z</dcterms:created>
  <dcterms:modified xsi:type="dcterms:W3CDTF">2026-01-28T14:23:19.044Z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